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6E1EC" w14:textId="77777777" w:rsidR="006805DA" w:rsidRDefault="006805DA" w:rsidP="006805DA">
      <w:pPr>
        <w:pStyle w:val="Body"/>
      </w:pPr>
    </w:p>
    <w:p w14:paraId="4E55DC85" w14:textId="77777777" w:rsidR="006805DA" w:rsidRDefault="006805DA" w:rsidP="006805DA">
      <w:pPr>
        <w:pStyle w:val="Body"/>
      </w:pPr>
    </w:p>
    <w:p w14:paraId="4EF9C696" w14:textId="77777777" w:rsidR="006805DA" w:rsidRDefault="006805DA" w:rsidP="006805DA">
      <w:pPr>
        <w:pStyle w:val="Body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CONNECTICUT READING ASSOCIATION</w:t>
      </w:r>
    </w:p>
    <w:p w14:paraId="5F445463" w14:textId="77777777" w:rsidR="006805DA" w:rsidRDefault="006805DA" w:rsidP="006805DA">
      <w:pPr>
        <w:pStyle w:val="Bod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CONNECTICUT ASSOCIATION FOR READING RESEARCH</w:t>
      </w:r>
    </w:p>
    <w:p w14:paraId="5B664962" w14:textId="77777777" w:rsidR="006805DA" w:rsidRDefault="006805DA" w:rsidP="006805DA">
      <w:pPr>
        <w:pStyle w:val="Bod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Summary of the Connecticut State Board of Education (CSBE) Meeting</w:t>
      </w:r>
    </w:p>
    <w:p w14:paraId="7E1A1242" w14:textId="6F530DD2" w:rsidR="006805DA" w:rsidRDefault="005869BE" w:rsidP="006805DA">
      <w:pPr>
        <w:pStyle w:val="Bod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March</w:t>
      </w:r>
      <w:r w:rsidR="006805DA">
        <w:rPr>
          <w:b/>
          <w:bCs/>
          <w:sz w:val="20"/>
          <w:szCs w:val="20"/>
        </w:rPr>
        <w:t xml:space="preserve"> 6, 2019</w:t>
      </w:r>
    </w:p>
    <w:p w14:paraId="493B7020" w14:textId="77777777" w:rsidR="006805DA" w:rsidRPr="00FC49EB" w:rsidRDefault="006805DA" w:rsidP="006805DA">
      <w:pPr>
        <w:pStyle w:val="Body"/>
        <w:jc w:val="center"/>
        <w:rPr>
          <w:b/>
          <w:bCs/>
          <w:sz w:val="20"/>
          <w:szCs w:val="20"/>
        </w:rPr>
      </w:pPr>
    </w:p>
    <w:p w14:paraId="08496919" w14:textId="2C9993D6" w:rsidR="006805DA" w:rsidRPr="005E5E65" w:rsidRDefault="006805DA" w:rsidP="006805DA">
      <w:pPr>
        <w:pStyle w:val="Body"/>
        <w:rPr>
          <w:bCs/>
          <w:sz w:val="20"/>
          <w:szCs w:val="20"/>
          <w:u w:color="000000"/>
        </w:rPr>
      </w:pPr>
      <w:r w:rsidRPr="005E5E65">
        <w:rPr>
          <w:bCs/>
          <w:sz w:val="20"/>
          <w:szCs w:val="20"/>
          <w:u w:color="000000"/>
        </w:rPr>
        <w:t>Attending:  Allan Taylor (Chair),</w:t>
      </w:r>
      <w:r w:rsidR="00DB3D34">
        <w:rPr>
          <w:bCs/>
          <w:sz w:val="20"/>
          <w:szCs w:val="20"/>
          <w:u w:color="000000"/>
        </w:rPr>
        <w:t xml:space="preserve"> </w:t>
      </w:r>
      <w:bookmarkStart w:id="0" w:name="_GoBack"/>
      <w:bookmarkEnd w:id="0"/>
      <w:r w:rsidR="003D2B3C">
        <w:rPr>
          <w:bCs/>
          <w:sz w:val="20"/>
          <w:szCs w:val="20"/>
          <w:u w:color="000000"/>
        </w:rPr>
        <w:t>Erin Benham,</w:t>
      </w:r>
      <w:r w:rsidRPr="005E5E65">
        <w:rPr>
          <w:bCs/>
          <w:sz w:val="20"/>
          <w:szCs w:val="20"/>
          <w:u w:color="000000"/>
        </w:rPr>
        <w:t xml:space="preserve"> Eric Clemons, </w:t>
      </w:r>
      <w:r w:rsidRPr="005E5E65">
        <w:rPr>
          <w:bCs/>
          <w:sz w:val="20"/>
          <w:szCs w:val="20"/>
          <w:u w:color="000000"/>
          <w:lang w:val="pt-PT"/>
        </w:rPr>
        <w:t>Estela Lopez (Vice Chair),</w:t>
      </w:r>
      <w:r>
        <w:rPr>
          <w:bCs/>
          <w:sz w:val="20"/>
          <w:szCs w:val="20"/>
          <w:u w:color="000000"/>
          <w:lang w:val="pt-PT"/>
        </w:rPr>
        <w:t xml:space="preserve"> D</w:t>
      </w:r>
      <w:r w:rsidRPr="005E5E65">
        <w:rPr>
          <w:bCs/>
          <w:sz w:val="20"/>
          <w:szCs w:val="20"/>
          <w:u w:color="000000"/>
          <w:lang w:val="pt-PT"/>
        </w:rPr>
        <w:t xml:space="preserve">onald Harris, </w:t>
      </w:r>
      <w:r w:rsidRPr="005E5E65">
        <w:rPr>
          <w:bCs/>
          <w:sz w:val="20"/>
          <w:szCs w:val="20"/>
          <w:u w:color="000000"/>
        </w:rPr>
        <w:t>Terry Jones,</w:t>
      </w:r>
      <w:r w:rsidR="00731381">
        <w:rPr>
          <w:bCs/>
          <w:sz w:val="20"/>
          <w:szCs w:val="20"/>
          <w:u w:color="000000"/>
        </w:rPr>
        <w:t xml:space="preserve"> Maria Mojica,</w:t>
      </w:r>
      <w:r w:rsidRPr="005E5E65">
        <w:rPr>
          <w:bCs/>
          <w:sz w:val="20"/>
          <w:szCs w:val="20"/>
          <w:u w:color="000000"/>
        </w:rPr>
        <w:t xml:space="preserve"> </w:t>
      </w:r>
      <w:r w:rsidRPr="005E5E65">
        <w:rPr>
          <w:bCs/>
          <w:sz w:val="20"/>
          <w:szCs w:val="20"/>
          <w:u w:color="000000"/>
          <w:lang w:val="it-IT"/>
        </w:rPr>
        <w:t>Diana Roberge</w:t>
      </w:r>
      <w:r w:rsidR="00D74A26">
        <w:rPr>
          <w:bCs/>
          <w:sz w:val="20"/>
          <w:szCs w:val="20"/>
          <w:u w:color="000000"/>
          <w:lang w:val="it-IT"/>
        </w:rPr>
        <w:t xml:space="preserve"> (Commissioner), Malia </w:t>
      </w:r>
      <w:r w:rsidRPr="005E5E65">
        <w:rPr>
          <w:bCs/>
          <w:sz w:val="20"/>
          <w:szCs w:val="20"/>
          <w:u w:color="000000"/>
          <w:lang w:val="it-IT"/>
        </w:rPr>
        <w:t>Sieve, Robert Trefry (Ex-Officio), Joseph Vrabely</w:t>
      </w:r>
      <w:r w:rsidR="00731381">
        <w:rPr>
          <w:bCs/>
          <w:sz w:val="20"/>
          <w:szCs w:val="20"/>
          <w:u w:color="000000"/>
          <w:lang w:val="it-IT"/>
        </w:rPr>
        <w:t xml:space="preserve"> </w:t>
      </w:r>
    </w:p>
    <w:p w14:paraId="3F562AEB" w14:textId="77777777" w:rsidR="00547FCB" w:rsidRDefault="00547FCB" w:rsidP="006805DA">
      <w:pPr>
        <w:pStyle w:val="Body"/>
        <w:rPr>
          <w:bCs/>
          <w:sz w:val="20"/>
          <w:szCs w:val="20"/>
          <w:u w:color="000000"/>
        </w:rPr>
      </w:pPr>
    </w:p>
    <w:p w14:paraId="0351A606" w14:textId="68131694" w:rsidR="006805DA" w:rsidRPr="005E5E65" w:rsidRDefault="006805DA" w:rsidP="006805DA">
      <w:pPr>
        <w:pStyle w:val="Body"/>
        <w:rPr>
          <w:bCs/>
          <w:sz w:val="20"/>
          <w:szCs w:val="20"/>
          <w:u w:color="000000"/>
        </w:rPr>
      </w:pPr>
      <w:r w:rsidRPr="005E5E65">
        <w:rPr>
          <w:bCs/>
          <w:sz w:val="20"/>
          <w:szCs w:val="20"/>
          <w:u w:color="000000"/>
        </w:rPr>
        <w:t>Absent:  Stephen Wright</w:t>
      </w:r>
      <w:r w:rsidR="00B16158">
        <w:rPr>
          <w:bCs/>
          <w:sz w:val="20"/>
          <w:szCs w:val="20"/>
          <w:u w:color="000000"/>
        </w:rPr>
        <w:t>, Marc Ojakian (Ex-Officio)</w:t>
      </w:r>
    </w:p>
    <w:p w14:paraId="6E5AE1A9" w14:textId="77777777" w:rsidR="006805DA" w:rsidRDefault="006805DA" w:rsidP="006805DA">
      <w:pPr>
        <w:pStyle w:val="Body"/>
        <w:rPr>
          <w:b/>
          <w:bCs/>
          <w:u w:val="single"/>
        </w:rPr>
      </w:pPr>
    </w:p>
    <w:p w14:paraId="2F8FF40E" w14:textId="3B2FCDB6" w:rsidR="006805DA" w:rsidRDefault="006805DA" w:rsidP="006805DA">
      <w:pPr>
        <w:pStyle w:val="Body"/>
        <w:rPr>
          <w:b/>
        </w:rPr>
      </w:pPr>
      <w:r w:rsidRPr="003855F6">
        <w:rPr>
          <w:b/>
        </w:rPr>
        <w:t>PUBLIC PARTICIPATION</w:t>
      </w:r>
    </w:p>
    <w:p w14:paraId="33F3A0AD" w14:textId="50E373F1" w:rsidR="00731381" w:rsidRDefault="00731381" w:rsidP="00731381">
      <w:pPr>
        <w:pStyle w:val="Body"/>
        <w:ind w:left="720"/>
      </w:pPr>
      <w:r>
        <w:t xml:space="preserve">Bernadette </w:t>
      </w:r>
      <w:proofErr w:type="spellStart"/>
      <w:r>
        <w:t>Trelei</w:t>
      </w:r>
      <w:proofErr w:type="spellEnd"/>
      <w:r>
        <w:t xml:space="preserve">, parent, Meredith Kennedy, former student, Dean Perkins, faculty, and Lorraine </w:t>
      </w:r>
      <w:proofErr w:type="spellStart"/>
      <w:r>
        <w:t>Nichirco</w:t>
      </w:r>
      <w:proofErr w:type="spellEnd"/>
      <w:r>
        <w:t>, citizen, spoke in support of the charter renewal for Stamford Academy.</w:t>
      </w:r>
    </w:p>
    <w:p w14:paraId="364F84DE" w14:textId="23A8F69E" w:rsidR="00731381" w:rsidRDefault="00731381" w:rsidP="00731381">
      <w:pPr>
        <w:pStyle w:val="Body"/>
        <w:ind w:left="720"/>
      </w:pPr>
    </w:p>
    <w:p w14:paraId="4411DE3C" w14:textId="77777777" w:rsidR="00731381" w:rsidRDefault="00731381" w:rsidP="00731381">
      <w:pPr>
        <w:pStyle w:val="Body"/>
        <w:ind w:left="720"/>
      </w:pPr>
      <w:r>
        <w:t xml:space="preserve">Sharon </w:t>
      </w:r>
      <w:proofErr w:type="spellStart"/>
      <w:r>
        <w:t>Papcin</w:t>
      </w:r>
      <w:proofErr w:type="spellEnd"/>
      <w:r>
        <w:t xml:space="preserve"> addressed the Board regarding the cooperation of stakeholders in the </w:t>
      </w:r>
    </w:p>
    <w:p w14:paraId="2409C731" w14:textId="5EDA1308" w:rsidR="00731381" w:rsidRPr="00731381" w:rsidRDefault="00731381" w:rsidP="00731381">
      <w:pPr>
        <w:pStyle w:val="Body"/>
        <w:ind w:left="720"/>
      </w:pPr>
      <w:r>
        <w:t xml:space="preserve">Ansonia Budget issue. </w:t>
      </w:r>
    </w:p>
    <w:p w14:paraId="5F917DD5" w14:textId="7C878AF8" w:rsidR="006805DA" w:rsidRDefault="006805DA" w:rsidP="006805DA">
      <w:pPr>
        <w:pStyle w:val="Body"/>
        <w:ind w:left="720"/>
        <w:rPr>
          <w:bCs/>
        </w:rPr>
      </w:pPr>
    </w:p>
    <w:p w14:paraId="76EB50DD" w14:textId="7E737536" w:rsidR="00731381" w:rsidRDefault="00731381" w:rsidP="006805DA">
      <w:pPr>
        <w:pStyle w:val="Body"/>
        <w:ind w:left="720"/>
        <w:rPr>
          <w:bCs/>
        </w:rPr>
      </w:pPr>
      <w:r>
        <w:rPr>
          <w:bCs/>
        </w:rPr>
        <w:t xml:space="preserve">Nina </w:t>
      </w:r>
      <w:proofErr w:type="spellStart"/>
      <w:r>
        <w:rPr>
          <w:bCs/>
        </w:rPr>
        <w:t>Rochas</w:t>
      </w:r>
      <w:proofErr w:type="spellEnd"/>
      <w:r>
        <w:rPr>
          <w:bCs/>
        </w:rPr>
        <w:t xml:space="preserve">, teacher, Brea Mangum, </w:t>
      </w:r>
      <w:proofErr w:type="spellStart"/>
      <w:r>
        <w:rPr>
          <w:bCs/>
        </w:rPr>
        <w:t>Nashon</w:t>
      </w:r>
      <w:proofErr w:type="spellEnd"/>
      <w:r>
        <w:rPr>
          <w:bCs/>
        </w:rPr>
        <w:t xml:space="preserve"> Thompson, and Claudia Phillips spoke in support of the Great Oaks renewal. </w:t>
      </w:r>
    </w:p>
    <w:p w14:paraId="6B9533E9" w14:textId="77777777" w:rsidR="006805DA" w:rsidRPr="00C82089" w:rsidRDefault="006805DA" w:rsidP="006805DA">
      <w:pPr>
        <w:pStyle w:val="Body"/>
        <w:rPr>
          <w:bCs/>
        </w:rPr>
      </w:pPr>
      <w:r>
        <w:rPr>
          <w:bCs/>
        </w:rPr>
        <w:tab/>
      </w:r>
    </w:p>
    <w:p w14:paraId="7204563D" w14:textId="3A32C0AA" w:rsidR="006805DA" w:rsidRPr="00675579" w:rsidRDefault="006805DA" w:rsidP="00B62435">
      <w:pPr>
        <w:pStyle w:val="Body"/>
        <w:rPr>
          <w:b/>
          <w:bCs/>
        </w:rPr>
      </w:pPr>
      <w:r>
        <w:rPr>
          <w:b/>
          <w:bCs/>
        </w:rPr>
        <w:t>ITEMS REQUIRING ACTION</w:t>
      </w:r>
      <w:r w:rsidRPr="00E35FF2">
        <w:rPr>
          <w:bCs/>
        </w:rPr>
        <w:t xml:space="preserve">   </w:t>
      </w:r>
    </w:p>
    <w:p w14:paraId="535A1D07" w14:textId="24B688A3" w:rsidR="00DC589D" w:rsidRPr="00CC527B" w:rsidRDefault="00317D74" w:rsidP="00D009BD">
      <w:pPr>
        <w:pStyle w:val="Body"/>
        <w:rPr>
          <w:bCs/>
          <w:u w:val="single"/>
        </w:rPr>
      </w:pPr>
      <w:r w:rsidRPr="00254E5D">
        <w:rPr>
          <w:bCs/>
        </w:rPr>
        <w:t xml:space="preserve"> </w:t>
      </w:r>
      <w:r w:rsidR="00D009BD" w:rsidRPr="00254E5D">
        <w:rPr>
          <w:bCs/>
        </w:rPr>
        <w:t>A</w:t>
      </w:r>
      <w:r w:rsidR="00D009BD" w:rsidRPr="00675579">
        <w:rPr>
          <w:bCs/>
          <w:u w:val="single"/>
        </w:rPr>
        <w:t>.</w:t>
      </w:r>
      <w:r w:rsidR="00D665F7">
        <w:rPr>
          <w:bCs/>
          <w:u w:val="single"/>
        </w:rPr>
        <w:t xml:space="preserve"> </w:t>
      </w:r>
      <w:r w:rsidR="00D009BD" w:rsidRPr="00675579">
        <w:rPr>
          <w:bCs/>
          <w:u w:val="single"/>
        </w:rPr>
        <w:t xml:space="preserve"> Ansonia 10-4b Inquiry</w:t>
      </w:r>
      <w:r w:rsidR="00D009BD" w:rsidRPr="00254E5D">
        <w:rPr>
          <w:bCs/>
        </w:rPr>
        <w:t xml:space="preserve"> </w:t>
      </w:r>
    </w:p>
    <w:p w14:paraId="66FE2AC2" w14:textId="79E6F096" w:rsidR="0029406D" w:rsidRDefault="00757169" w:rsidP="0029406D">
      <w:pPr>
        <w:pStyle w:val="Body"/>
        <w:ind w:left="720"/>
        <w:rPr>
          <w:bCs/>
        </w:rPr>
      </w:pPr>
      <w:r>
        <w:rPr>
          <w:rFonts w:ascii="Helvetica" w:hAnsi="Helvetica"/>
          <w:sz w:val="24"/>
          <w:szCs w:val="24"/>
          <w:u w:color="000000"/>
        </w:rPr>
        <w:t>T</w:t>
      </w:r>
      <w:r w:rsidR="0029406D">
        <w:rPr>
          <w:rFonts w:ascii="Helvetica" w:hAnsi="Helvetica"/>
          <w:sz w:val="24"/>
          <w:szCs w:val="24"/>
          <w:u w:color="000000"/>
        </w:rPr>
        <w:t>he Ansonia Board of Education (ABOE) ha</w:t>
      </w:r>
      <w:r w:rsidR="00731381">
        <w:rPr>
          <w:rFonts w:ascii="Helvetica" w:hAnsi="Helvetica"/>
          <w:sz w:val="24"/>
          <w:szCs w:val="24"/>
          <w:u w:color="000000"/>
        </w:rPr>
        <w:t>d</w:t>
      </w:r>
      <w:r w:rsidR="0029406D">
        <w:rPr>
          <w:rFonts w:ascii="Helvetica" w:hAnsi="Helvetica"/>
          <w:sz w:val="24"/>
          <w:szCs w:val="24"/>
          <w:u w:color="000000"/>
        </w:rPr>
        <w:t xml:space="preserve"> </w:t>
      </w:r>
      <w:r w:rsidR="00C12BC3">
        <w:rPr>
          <w:rFonts w:ascii="Helvetica" w:hAnsi="Helvetica"/>
          <w:sz w:val="24"/>
          <w:szCs w:val="24"/>
          <w:u w:color="000000"/>
        </w:rPr>
        <w:t xml:space="preserve">been </w:t>
      </w:r>
      <w:r w:rsidR="000675C2">
        <w:rPr>
          <w:rFonts w:ascii="Helvetica" w:hAnsi="Helvetica"/>
          <w:sz w:val="24"/>
          <w:szCs w:val="24"/>
          <w:u w:color="000000"/>
        </w:rPr>
        <w:t>de</w:t>
      </w:r>
      <w:r w:rsidR="008E5212">
        <w:rPr>
          <w:rFonts w:ascii="Helvetica" w:hAnsi="Helvetica"/>
          <w:sz w:val="24"/>
          <w:szCs w:val="24"/>
          <w:u w:color="000000"/>
        </w:rPr>
        <w:t>n</w:t>
      </w:r>
      <w:r w:rsidR="000675C2">
        <w:rPr>
          <w:rFonts w:ascii="Helvetica" w:hAnsi="Helvetica"/>
          <w:sz w:val="24"/>
          <w:szCs w:val="24"/>
          <w:u w:color="000000"/>
        </w:rPr>
        <w:t xml:space="preserve">ied </w:t>
      </w:r>
      <w:r w:rsidR="003B2A5D">
        <w:rPr>
          <w:rFonts w:ascii="Helvetica" w:hAnsi="Helvetica"/>
          <w:sz w:val="24"/>
          <w:szCs w:val="24"/>
          <w:u w:color="000000"/>
        </w:rPr>
        <w:t>Equal Funding Appropriations from the CSBE for failure</w:t>
      </w:r>
      <w:r w:rsidR="00C12BC3">
        <w:rPr>
          <w:rFonts w:ascii="Helvetica" w:hAnsi="Helvetica"/>
          <w:sz w:val="24"/>
          <w:szCs w:val="24"/>
          <w:u w:color="000000"/>
        </w:rPr>
        <w:t xml:space="preserve"> </w:t>
      </w:r>
      <w:r w:rsidR="0029406D">
        <w:rPr>
          <w:rFonts w:ascii="Helvetica" w:hAnsi="Helvetica"/>
          <w:sz w:val="24"/>
          <w:szCs w:val="24"/>
          <w:u w:color="000000"/>
        </w:rPr>
        <w:t>to appropriate sufficient funds to meet Minimum Budget Requirements</w:t>
      </w:r>
      <w:r w:rsidR="0081255C">
        <w:rPr>
          <w:rFonts w:ascii="Helvetica" w:hAnsi="Helvetica"/>
          <w:sz w:val="24"/>
          <w:szCs w:val="24"/>
          <w:u w:color="000000"/>
        </w:rPr>
        <w:t>.</w:t>
      </w:r>
      <w:r w:rsidR="0029406D">
        <w:rPr>
          <w:rFonts w:ascii="Helvetica" w:hAnsi="Helvetica"/>
          <w:sz w:val="24"/>
          <w:szCs w:val="24"/>
          <w:u w:color="000000"/>
        </w:rPr>
        <w:t xml:space="preserve"> The city of Ansonia may </w:t>
      </w:r>
      <w:r w:rsidR="00731381">
        <w:rPr>
          <w:rFonts w:ascii="Helvetica" w:hAnsi="Helvetica"/>
          <w:sz w:val="24"/>
          <w:szCs w:val="24"/>
          <w:u w:color="000000"/>
        </w:rPr>
        <w:t xml:space="preserve">have </w:t>
      </w:r>
      <w:r w:rsidR="0029406D">
        <w:rPr>
          <w:rFonts w:ascii="Helvetica" w:hAnsi="Helvetica"/>
          <w:sz w:val="24"/>
          <w:szCs w:val="24"/>
          <w:u w:color="000000"/>
        </w:rPr>
        <w:t>be</w:t>
      </w:r>
      <w:r w:rsidR="0066545A">
        <w:rPr>
          <w:rFonts w:ascii="Helvetica" w:hAnsi="Helvetica"/>
          <w:sz w:val="24"/>
          <w:szCs w:val="24"/>
          <w:u w:color="000000"/>
        </w:rPr>
        <w:t>en</w:t>
      </w:r>
      <w:r w:rsidR="0029406D">
        <w:rPr>
          <w:rFonts w:ascii="Helvetica" w:hAnsi="Helvetica"/>
          <w:sz w:val="24"/>
          <w:szCs w:val="24"/>
          <w:u w:color="000000"/>
        </w:rPr>
        <w:t xml:space="preserve"> responsible for the failure or inability of the ABOE </w:t>
      </w:r>
      <w:r w:rsidR="0066545A">
        <w:rPr>
          <w:rFonts w:ascii="Helvetica" w:hAnsi="Helvetica"/>
          <w:sz w:val="24"/>
          <w:szCs w:val="24"/>
          <w:u w:color="000000"/>
        </w:rPr>
        <w:t xml:space="preserve">to </w:t>
      </w:r>
      <w:r w:rsidR="0029406D">
        <w:rPr>
          <w:rFonts w:ascii="Helvetica" w:hAnsi="Helvetica"/>
          <w:sz w:val="24"/>
          <w:szCs w:val="24"/>
          <w:u w:color="000000"/>
        </w:rPr>
        <w:t>implement the educational interests of the state</w:t>
      </w:r>
      <w:r w:rsidR="00DD313E">
        <w:rPr>
          <w:rFonts w:ascii="Helvetica" w:hAnsi="Helvetica"/>
          <w:sz w:val="24"/>
          <w:szCs w:val="24"/>
          <w:u w:color="000000"/>
        </w:rPr>
        <w:t xml:space="preserve"> by refusing to provide funds to the </w:t>
      </w:r>
      <w:r w:rsidR="00C761BC">
        <w:rPr>
          <w:rFonts w:ascii="Helvetica" w:hAnsi="Helvetica"/>
          <w:sz w:val="24"/>
          <w:szCs w:val="24"/>
          <w:u w:color="000000"/>
        </w:rPr>
        <w:t>ABOE. The Ansonia Town Council has recently agreed to deposit sufficient funds</w:t>
      </w:r>
      <w:r w:rsidR="0081255C">
        <w:rPr>
          <w:rFonts w:ascii="Helvetica" w:hAnsi="Helvetica"/>
          <w:sz w:val="24"/>
          <w:szCs w:val="24"/>
          <w:u w:color="000000"/>
        </w:rPr>
        <w:t xml:space="preserve">. The CSBE voted to </w:t>
      </w:r>
      <w:r w:rsidR="00373E4B">
        <w:rPr>
          <w:rFonts w:ascii="Helvetica" w:hAnsi="Helvetica"/>
          <w:sz w:val="24"/>
          <w:szCs w:val="24"/>
          <w:u w:color="000000"/>
        </w:rPr>
        <w:t xml:space="preserve">dismiss the complaint without prejudice, which means that the CSBE can reinstitute the </w:t>
      </w:r>
      <w:r w:rsidR="0092212C">
        <w:rPr>
          <w:rFonts w:ascii="Helvetica" w:hAnsi="Helvetica"/>
          <w:sz w:val="24"/>
          <w:szCs w:val="24"/>
          <w:u w:color="000000"/>
        </w:rPr>
        <w:t xml:space="preserve">inquiry if the </w:t>
      </w:r>
      <w:r w:rsidR="000018C5">
        <w:rPr>
          <w:rFonts w:ascii="Helvetica" w:hAnsi="Helvetica"/>
          <w:sz w:val="24"/>
          <w:szCs w:val="24"/>
          <w:u w:color="000000"/>
        </w:rPr>
        <w:t xml:space="preserve">city fails to </w:t>
      </w:r>
      <w:r w:rsidR="001F667B">
        <w:rPr>
          <w:rFonts w:ascii="Helvetica" w:hAnsi="Helvetica"/>
          <w:sz w:val="24"/>
          <w:szCs w:val="24"/>
          <w:u w:color="000000"/>
        </w:rPr>
        <w:t xml:space="preserve">provide the </w:t>
      </w:r>
      <w:r w:rsidR="0066545A">
        <w:rPr>
          <w:rFonts w:ascii="Helvetica" w:hAnsi="Helvetica"/>
          <w:sz w:val="24"/>
          <w:szCs w:val="24"/>
          <w:u w:color="000000"/>
        </w:rPr>
        <w:t xml:space="preserve">adequate </w:t>
      </w:r>
      <w:r w:rsidR="001F667B">
        <w:rPr>
          <w:rFonts w:ascii="Helvetica" w:hAnsi="Helvetica"/>
          <w:sz w:val="24"/>
          <w:szCs w:val="24"/>
          <w:u w:color="000000"/>
        </w:rPr>
        <w:t xml:space="preserve">funds. </w:t>
      </w:r>
    </w:p>
    <w:p w14:paraId="3FBB471E" w14:textId="77777777" w:rsidR="0029406D" w:rsidRPr="00254E5D" w:rsidRDefault="0029406D" w:rsidP="0029406D">
      <w:pPr>
        <w:pStyle w:val="Body"/>
        <w:rPr>
          <w:bCs/>
        </w:rPr>
      </w:pPr>
    </w:p>
    <w:p w14:paraId="162A428C" w14:textId="43186E8F" w:rsidR="00D009BD" w:rsidRPr="00254E5D" w:rsidRDefault="00013624" w:rsidP="00D009BD">
      <w:pPr>
        <w:pStyle w:val="Body"/>
        <w:rPr>
          <w:bCs/>
        </w:rPr>
      </w:pPr>
      <w:r>
        <w:rPr>
          <w:bCs/>
        </w:rPr>
        <w:tab/>
      </w:r>
    </w:p>
    <w:p w14:paraId="51F2EC6C" w14:textId="17C0BA2B" w:rsidR="00B2364C" w:rsidRDefault="00D009BD" w:rsidP="0073145E">
      <w:pPr>
        <w:pStyle w:val="Body"/>
        <w:rPr>
          <w:bCs/>
          <w:u w:val="single"/>
        </w:rPr>
      </w:pPr>
      <w:r w:rsidRPr="00254E5D">
        <w:rPr>
          <w:bCs/>
        </w:rPr>
        <w:t xml:space="preserve"> B. </w:t>
      </w:r>
      <w:r w:rsidR="00675579" w:rsidRPr="00675579">
        <w:rPr>
          <w:bCs/>
          <w:u w:val="single"/>
        </w:rPr>
        <w:t xml:space="preserve">Renewal of State Charter-Great </w:t>
      </w:r>
      <w:r w:rsidR="00712F65">
        <w:rPr>
          <w:bCs/>
          <w:u w:val="single"/>
        </w:rPr>
        <w:t xml:space="preserve">Oaks </w:t>
      </w:r>
      <w:r w:rsidRPr="00675579">
        <w:rPr>
          <w:bCs/>
          <w:u w:val="single"/>
        </w:rPr>
        <w:t>Charter School</w:t>
      </w:r>
      <w:r w:rsidR="00B2364C">
        <w:rPr>
          <w:bCs/>
          <w:u w:val="single"/>
        </w:rPr>
        <w:t>.</w:t>
      </w:r>
      <w:bookmarkStart w:id="1" w:name="_Hlk2849173"/>
    </w:p>
    <w:p w14:paraId="2264C382" w14:textId="746A800D" w:rsidR="00675579" w:rsidRPr="00254E5D" w:rsidRDefault="005F3CF9" w:rsidP="004C73D9">
      <w:pPr>
        <w:pStyle w:val="Body"/>
        <w:ind w:left="720"/>
        <w:rPr>
          <w:bCs/>
        </w:rPr>
      </w:pPr>
      <w:r>
        <w:rPr>
          <w:bCs/>
        </w:rPr>
        <w:t>Desi Nesmith, Chief Turnaround Officer</w:t>
      </w:r>
      <w:r w:rsidR="0066545A">
        <w:rPr>
          <w:bCs/>
        </w:rPr>
        <w:t>,</w:t>
      </w:r>
      <w:r>
        <w:rPr>
          <w:bCs/>
        </w:rPr>
        <w:t xml:space="preserve"> presented the request for </w:t>
      </w:r>
      <w:r w:rsidR="00360BC0">
        <w:rPr>
          <w:bCs/>
        </w:rPr>
        <w:t xml:space="preserve">charter </w:t>
      </w:r>
      <w:r>
        <w:rPr>
          <w:bCs/>
        </w:rPr>
        <w:t>renewal.</w:t>
      </w:r>
      <w:r w:rsidR="004C73D9">
        <w:rPr>
          <w:bCs/>
        </w:rPr>
        <w:t xml:space="preserve"> </w:t>
      </w:r>
      <w:r w:rsidR="00715F92">
        <w:rPr>
          <w:bCs/>
        </w:rPr>
        <w:t>Following</w:t>
      </w:r>
      <w:r>
        <w:rPr>
          <w:bCs/>
        </w:rPr>
        <w:t xml:space="preserve"> </w:t>
      </w:r>
      <w:r w:rsidR="004C73D9">
        <w:rPr>
          <w:bCs/>
        </w:rPr>
        <w:t>a site visit</w:t>
      </w:r>
      <w:r w:rsidR="002C06D5">
        <w:rPr>
          <w:bCs/>
        </w:rPr>
        <w:t xml:space="preserve">, document review, </w:t>
      </w:r>
      <w:r w:rsidR="00393BA3">
        <w:rPr>
          <w:bCs/>
        </w:rPr>
        <w:t>focus group sessions</w:t>
      </w:r>
      <w:r w:rsidR="00831290">
        <w:rPr>
          <w:bCs/>
        </w:rPr>
        <w:t>, and a public hearing, renewal</w:t>
      </w:r>
      <w:r w:rsidR="00770381">
        <w:rPr>
          <w:bCs/>
        </w:rPr>
        <w:t xml:space="preserve"> for two years</w:t>
      </w:r>
      <w:r w:rsidR="00831290">
        <w:rPr>
          <w:bCs/>
        </w:rPr>
        <w:t xml:space="preserve"> with conditions was recommend</w:t>
      </w:r>
      <w:r w:rsidR="00CA78BD">
        <w:rPr>
          <w:bCs/>
        </w:rPr>
        <w:t>e</w:t>
      </w:r>
      <w:r w:rsidR="00831290">
        <w:rPr>
          <w:bCs/>
        </w:rPr>
        <w:t xml:space="preserve">d.  </w:t>
      </w:r>
      <w:r w:rsidR="00304875">
        <w:rPr>
          <w:bCs/>
        </w:rPr>
        <w:t xml:space="preserve">By April 2019, the school must </w:t>
      </w:r>
      <w:r w:rsidR="00FB6F0B">
        <w:rPr>
          <w:bCs/>
        </w:rPr>
        <w:t xml:space="preserve">institute </w:t>
      </w:r>
      <w:r w:rsidR="000724BF">
        <w:rPr>
          <w:bCs/>
        </w:rPr>
        <w:t xml:space="preserve">a stronger direct instruction model, </w:t>
      </w:r>
      <w:r w:rsidR="007614A3">
        <w:rPr>
          <w:bCs/>
        </w:rPr>
        <w:t xml:space="preserve">ensure certification compliance, strengthen discipline procedures, and </w:t>
      </w:r>
      <w:r w:rsidR="005877EA">
        <w:rPr>
          <w:bCs/>
        </w:rPr>
        <w:t>reduce absenteeism and suspensions/expulsions. The partial renewal was approved</w:t>
      </w:r>
      <w:r w:rsidR="0066545A">
        <w:rPr>
          <w:bCs/>
        </w:rPr>
        <w:t xml:space="preserve"> with the requirement that the Charter shall submit a plan for addressing concerns at the April, June, and August CSBE meetings. </w:t>
      </w:r>
    </w:p>
    <w:bookmarkEnd w:id="1"/>
    <w:p w14:paraId="74C17DB9" w14:textId="77777777" w:rsidR="00E123E3" w:rsidRDefault="00D009BD" w:rsidP="00D009BD">
      <w:pPr>
        <w:pStyle w:val="Body"/>
        <w:rPr>
          <w:bCs/>
        </w:rPr>
      </w:pPr>
      <w:r w:rsidRPr="00254E5D">
        <w:rPr>
          <w:bCs/>
        </w:rPr>
        <w:t xml:space="preserve"> </w:t>
      </w:r>
    </w:p>
    <w:p w14:paraId="4CF249D9" w14:textId="621FB076" w:rsidR="00D009BD" w:rsidRDefault="00D009BD" w:rsidP="00D009BD">
      <w:pPr>
        <w:pStyle w:val="Body"/>
        <w:rPr>
          <w:bCs/>
        </w:rPr>
      </w:pPr>
      <w:r w:rsidRPr="00254E5D">
        <w:rPr>
          <w:bCs/>
        </w:rPr>
        <w:t xml:space="preserve">C. </w:t>
      </w:r>
      <w:r w:rsidRPr="00675579">
        <w:rPr>
          <w:bCs/>
          <w:u w:val="single"/>
        </w:rPr>
        <w:t>Renewal of State Charter-Stamford Academy, Stamford</w:t>
      </w:r>
    </w:p>
    <w:p w14:paraId="2086C7A2" w14:textId="1919E5F9" w:rsidR="00675579" w:rsidRPr="00254E5D" w:rsidRDefault="00CD45E8" w:rsidP="005877EA">
      <w:pPr>
        <w:pStyle w:val="Body"/>
        <w:ind w:left="720"/>
        <w:rPr>
          <w:bCs/>
        </w:rPr>
      </w:pPr>
      <w:r>
        <w:rPr>
          <w:bCs/>
        </w:rPr>
        <w:t>Desi Nesmith presented the request for charter renewal.</w:t>
      </w:r>
      <w:r w:rsidR="00AD67F6">
        <w:rPr>
          <w:bCs/>
        </w:rPr>
        <w:t xml:space="preserve"> </w:t>
      </w:r>
      <w:r w:rsidR="001E336F">
        <w:rPr>
          <w:bCs/>
        </w:rPr>
        <w:t xml:space="preserve">The </w:t>
      </w:r>
      <w:r w:rsidR="00026F70">
        <w:rPr>
          <w:bCs/>
        </w:rPr>
        <w:t>school serves under</w:t>
      </w:r>
      <w:r w:rsidR="00C91529">
        <w:rPr>
          <w:bCs/>
        </w:rPr>
        <w:t>-</w:t>
      </w:r>
      <w:r w:rsidR="00026F70">
        <w:rPr>
          <w:bCs/>
        </w:rPr>
        <w:t xml:space="preserve">credited high school students who generally enter </w:t>
      </w:r>
      <w:r w:rsidR="00A772AF">
        <w:rPr>
          <w:bCs/>
        </w:rPr>
        <w:t>three or more grade levels behin</w:t>
      </w:r>
      <w:r w:rsidR="003E0FEA">
        <w:rPr>
          <w:bCs/>
        </w:rPr>
        <w:t>d in reading and mathematics.</w:t>
      </w:r>
      <w:r w:rsidR="00A618F8">
        <w:rPr>
          <w:bCs/>
        </w:rPr>
        <w:t xml:space="preserve"> </w:t>
      </w:r>
      <w:r w:rsidR="00EF5A99">
        <w:rPr>
          <w:bCs/>
        </w:rPr>
        <w:t xml:space="preserve">At the </w:t>
      </w:r>
      <w:proofErr w:type="gramStart"/>
      <w:r w:rsidR="00EF5A99">
        <w:rPr>
          <w:bCs/>
        </w:rPr>
        <w:t>five year</w:t>
      </w:r>
      <w:proofErr w:type="gramEnd"/>
      <w:r w:rsidR="00EF5A99">
        <w:rPr>
          <w:bCs/>
        </w:rPr>
        <w:t xml:space="preserve"> request for renewal, SA</w:t>
      </w:r>
      <w:r w:rsidR="00386CBA">
        <w:rPr>
          <w:bCs/>
        </w:rPr>
        <w:t xml:space="preserve"> was placed on probation </w:t>
      </w:r>
      <w:r w:rsidR="0066545A">
        <w:rPr>
          <w:bCs/>
        </w:rPr>
        <w:t>due to</w:t>
      </w:r>
      <w:r w:rsidR="00386CBA">
        <w:rPr>
          <w:bCs/>
        </w:rPr>
        <w:t xml:space="preserve"> </w:t>
      </w:r>
      <w:r w:rsidR="00D22C73">
        <w:rPr>
          <w:bCs/>
        </w:rPr>
        <w:t xml:space="preserve">student achievement deficits, the graduation rate, and </w:t>
      </w:r>
      <w:r w:rsidR="004A4107">
        <w:rPr>
          <w:bCs/>
        </w:rPr>
        <w:t>staff certification.</w:t>
      </w:r>
      <w:r w:rsidR="00386CBA">
        <w:rPr>
          <w:bCs/>
        </w:rPr>
        <w:t xml:space="preserve"> </w:t>
      </w:r>
      <w:r w:rsidR="003E0FEA">
        <w:rPr>
          <w:bCs/>
        </w:rPr>
        <w:t xml:space="preserve"> </w:t>
      </w:r>
      <w:r w:rsidR="005D2958">
        <w:rPr>
          <w:bCs/>
        </w:rPr>
        <w:t xml:space="preserve">As required, the school has developed goals around the issues of student absenteeism, </w:t>
      </w:r>
      <w:r w:rsidR="00734615">
        <w:rPr>
          <w:bCs/>
        </w:rPr>
        <w:t xml:space="preserve">student achievement, chronic absenteeism and student suspension.  </w:t>
      </w:r>
      <w:r w:rsidR="007F139E">
        <w:rPr>
          <w:bCs/>
        </w:rPr>
        <w:t>Following a site visit, document review, focus group sessions, and a public hearing,</w:t>
      </w:r>
      <w:r w:rsidR="0066545A">
        <w:rPr>
          <w:bCs/>
        </w:rPr>
        <w:t xml:space="preserve"> a</w:t>
      </w:r>
      <w:r w:rsidR="007F139E">
        <w:rPr>
          <w:bCs/>
        </w:rPr>
        <w:t xml:space="preserve"> renewal for two years with conditions</w:t>
      </w:r>
      <w:r w:rsidR="00831B1E">
        <w:rPr>
          <w:bCs/>
        </w:rPr>
        <w:t>,</w:t>
      </w:r>
      <w:r w:rsidR="00547E4C">
        <w:rPr>
          <w:bCs/>
        </w:rPr>
        <w:t xml:space="preserve"> including unannounced site visits,</w:t>
      </w:r>
      <w:r w:rsidR="007F139E">
        <w:rPr>
          <w:bCs/>
        </w:rPr>
        <w:t xml:space="preserve"> was recommended</w:t>
      </w:r>
      <w:r w:rsidR="003A717A">
        <w:rPr>
          <w:bCs/>
        </w:rPr>
        <w:t>.</w:t>
      </w:r>
      <w:r w:rsidR="00547E4C">
        <w:rPr>
          <w:bCs/>
        </w:rPr>
        <w:t xml:space="preserve"> The Board approved the renewal</w:t>
      </w:r>
      <w:r w:rsidR="0066545A">
        <w:rPr>
          <w:bCs/>
        </w:rPr>
        <w:t xml:space="preserve"> and lifted the probationary status.</w:t>
      </w:r>
    </w:p>
    <w:p w14:paraId="2F983135" w14:textId="6FB93FEF" w:rsidR="004A18DF" w:rsidRPr="005C3C35" w:rsidRDefault="00D009BD" w:rsidP="006805DA">
      <w:pPr>
        <w:pStyle w:val="Body"/>
        <w:rPr>
          <w:bCs/>
        </w:rPr>
      </w:pPr>
      <w:r w:rsidRPr="00254E5D">
        <w:rPr>
          <w:bCs/>
        </w:rPr>
        <w:t xml:space="preserve"> </w:t>
      </w:r>
    </w:p>
    <w:p w14:paraId="7648AA02" w14:textId="130E8886" w:rsidR="006805DA" w:rsidRDefault="006805DA" w:rsidP="006805DA">
      <w:pPr>
        <w:pStyle w:val="Body"/>
        <w:rPr>
          <w:b/>
          <w:bCs/>
        </w:rPr>
      </w:pPr>
      <w:r>
        <w:rPr>
          <w:b/>
          <w:bCs/>
        </w:rPr>
        <w:t>ITEMS FOR DISCUSSION</w:t>
      </w:r>
    </w:p>
    <w:p w14:paraId="5CAEF4B4" w14:textId="77777777" w:rsidR="006805DA" w:rsidRDefault="006805DA" w:rsidP="006805DA">
      <w:pPr>
        <w:pStyle w:val="Body"/>
        <w:rPr>
          <w:b/>
          <w:bCs/>
        </w:rPr>
      </w:pPr>
    </w:p>
    <w:p w14:paraId="36570E16" w14:textId="575A6405" w:rsidR="00E45ADC" w:rsidRPr="00571580" w:rsidRDefault="00675579" w:rsidP="00E45ADC">
      <w:pPr>
        <w:pStyle w:val="Body"/>
        <w:numPr>
          <w:ilvl w:val="0"/>
          <w:numId w:val="1"/>
        </w:numPr>
        <w:rPr>
          <w:bCs/>
          <w:u w:val="single"/>
        </w:rPr>
      </w:pPr>
      <w:r>
        <w:rPr>
          <w:bCs/>
          <w:u w:val="single"/>
        </w:rPr>
        <w:t>Connecticut’s</w:t>
      </w:r>
      <w:r w:rsidR="00385954">
        <w:rPr>
          <w:bCs/>
          <w:u w:val="single"/>
        </w:rPr>
        <w:t xml:space="preserve"> Definition and Framework for Family Engagemen</w:t>
      </w:r>
      <w:r w:rsidR="00E45ADC">
        <w:rPr>
          <w:bCs/>
          <w:u w:val="single"/>
        </w:rPr>
        <w:t>t</w:t>
      </w:r>
      <w:r w:rsidR="00571580">
        <w:rPr>
          <w:bCs/>
          <w:u w:val="single"/>
        </w:rPr>
        <w:t>.</w:t>
      </w:r>
    </w:p>
    <w:p w14:paraId="41BBF273" w14:textId="73278D1A" w:rsidR="00571580" w:rsidRPr="002924D5" w:rsidRDefault="00105895" w:rsidP="002924D5">
      <w:pPr>
        <w:pStyle w:val="Body"/>
        <w:ind w:left="1440"/>
        <w:rPr>
          <w:bCs/>
        </w:rPr>
      </w:pPr>
      <w:r>
        <w:rPr>
          <w:bCs/>
        </w:rPr>
        <w:t xml:space="preserve">Charlene Russell-Tucker presented </w:t>
      </w:r>
      <w:r w:rsidR="00421021">
        <w:rPr>
          <w:bCs/>
        </w:rPr>
        <w:t xml:space="preserve">the </w:t>
      </w:r>
      <w:r w:rsidR="00421021" w:rsidRPr="00032E83">
        <w:rPr>
          <w:bCs/>
          <w:i/>
        </w:rPr>
        <w:t>Definition and Framework for Famil</w:t>
      </w:r>
      <w:r w:rsidR="00032E83" w:rsidRPr="00032E83">
        <w:rPr>
          <w:bCs/>
          <w:i/>
        </w:rPr>
        <w:t>y</w:t>
      </w:r>
      <w:r w:rsidR="00421021" w:rsidRPr="00032E83">
        <w:rPr>
          <w:bCs/>
          <w:i/>
        </w:rPr>
        <w:t xml:space="preserve"> </w:t>
      </w:r>
      <w:r w:rsidR="00864FC9" w:rsidRPr="00032E83">
        <w:rPr>
          <w:bCs/>
          <w:i/>
        </w:rPr>
        <w:t>Engagement</w:t>
      </w:r>
      <w:r w:rsidR="00421021">
        <w:rPr>
          <w:bCs/>
        </w:rPr>
        <w:t xml:space="preserve"> to the Board.</w:t>
      </w:r>
      <w:r w:rsidR="00C31E58">
        <w:rPr>
          <w:bCs/>
        </w:rPr>
        <w:t xml:space="preserve"> </w:t>
      </w:r>
      <w:r w:rsidR="00421021">
        <w:rPr>
          <w:bCs/>
        </w:rPr>
        <w:t>The report defines engagement as</w:t>
      </w:r>
      <w:r w:rsidR="00032E83">
        <w:rPr>
          <w:bCs/>
        </w:rPr>
        <w:t xml:space="preserve"> </w:t>
      </w:r>
      <w:r w:rsidR="00585806">
        <w:rPr>
          <w:bCs/>
        </w:rPr>
        <w:t xml:space="preserve">“…full, equal and </w:t>
      </w:r>
      <w:r w:rsidR="00585806">
        <w:rPr>
          <w:bCs/>
        </w:rPr>
        <w:lastRenderedPageBreak/>
        <w:t>equitable</w:t>
      </w:r>
      <w:r w:rsidR="00B731E5">
        <w:rPr>
          <w:bCs/>
        </w:rPr>
        <w:t xml:space="preserve"> partnershi</w:t>
      </w:r>
      <w:r w:rsidR="005D0CA8">
        <w:rPr>
          <w:bCs/>
        </w:rPr>
        <w:t>p among families, educators, and community partners to promote children’s learning and development from birth through college and career.”</w:t>
      </w:r>
      <w:r w:rsidR="00715D14">
        <w:rPr>
          <w:bCs/>
        </w:rPr>
        <w:t xml:space="preserve"> The key words</w:t>
      </w:r>
      <w:r w:rsidR="00014837">
        <w:rPr>
          <w:bCs/>
        </w:rPr>
        <w:t xml:space="preserve">, </w:t>
      </w:r>
      <w:r w:rsidR="00014837" w:rsidRPr="0066545A">
        <w:rPr>
          <w:bCs/>
          <w:i/>
        </w:rPr>
        <w:t>full</w:t>
      </w:r>
      <w:r w:rsidR="00014837">
        <w:rPr>
          <w:bCs/>
        </w:rPr>
        <w:t xml:space="preserve">, </w:t>
      </w:r>
      <w:r w:rsidR="00014837" w:rsidRPr="0066545A">
        <w:rPr>
          <w:bCs/>
          <w:i/>
        </w:rPr>
        <w:t>equal</w:t>
      </w:r>
      <w:r w:rsidR="00014837">
        <w:rPr>
          <w:bCs/>
        </w:rPr>
        <w:t xml:space="preserve"> and e</w:t>
      </w:r>
      <w:r w:rsidR="00014837" w:rsidRPr="0066545A">
        <w:rPr>
          <w:bCs/>
          <w:i/>
        </w:rPr>
        <w:t>quitable</w:t>
      </w:r>
      <w:r w:rsidR="00014837">
        <w:rPr>
          <w:bCs/>
        </w:rPr>
        <w:t xml:space="preserve"> </w:t>
      </w:r>
      <w:r w:rsidR="00715D14">
        <w:rPr>
          <w:bCs/>
        </w:rPr>
        <w:t xml:space="preserve">were </w:t>
      </w:r>
      <w:r w:rsidR="00014837">
        <w:rPr>
          <w:bCs/>
        </w:rPr>
        <w:t xml:space="preserve">further </w:t>
      </w:r>
      <w:r w:rsidR="0066545A">
        <w:rPr>
          <w:bCs/>
        </w:rPr>
        <w:t>defined</w:t>
      </w:r>
      <w:r w:rsidR="005D0CA8">
        <w:rPr>
          <w:bCs/>
        </w:rPr>
        <w:t xml:space="preserve"> </w:t>
      </w:r>
      <w:r w:rsidR="004C6965">
        <w:rPr>
          <w:bCs/>
        </w:rPr>
        <w:t xml:space="preserve">based on input from all stakeholders.  </w:t>
      </w:r>
      <w:r w:rsidR="00E17F22">
        <w:rPr>
          <w:bCs/>
        </w:rPr>
        <w:t>Guidelines were created that a</w:t>
      </w:r>
      <w:r w:rsidR="00C712A9">
        <w:rPr>
          <w:bCs/>
        </w:rPr>
        <w:t>r</w:t>
      </w:r>
      <w:r w:rsidR="00E17F22">
        <w:rPr>
          <w:bCs/>
        </w:rPr>
        <w:t xml:space="preserve">e consistent with </w:t>
      </w:r>
      <w:r w:rsidR="002924D5">
        <w:rPr>
          <w:bCs/>
        </w:rPr>
        <w:t xml:space="preserve">the Board’s Comprehensive Plan, Goal 1, “Ensuring that students’ non-academic needs are met so they are healthy, happy and ready to learn.” </w:t>
      </w:r>
      <w:r w:rsidR="00E17F22">
        <w:rPr>
          <w:bCs/>
        </w:rPr>
        <w:t xml:space="preserve"> </w:t>
      </w:r>
    </w:p>
    <w:p w14:paraId="6A5EBE48" w14:textId="63BDB5B6" w:rsidR="00E45ADC" w:rsidRPr="00710054" w:rsidRDefault="00E45ADC" w:rsidP="006E0AA9">
      <w:pPr>
        <w:pStyle w:val="Body"/>
        <w:ind w:left="2160"/>
        <w:rPr>
          <w:bCs/>
        </w:rPr>
      </w:pPr>
    </w:p>
    <w:p w14:paraId="6A8E2DFF" w14:textId="77777777" w:rsidR="006805DA" w:rsidRDefault="006805DA" w:rsidP="006805DA">
      <w:pPr>
        <w:pStyle w:val="Body"/>
        <w:rPr>
          <w:b/>
          <w:bCs/>
        </w:rPr>
      </w:pPr>
    </w:p>
    <w:p w14:paraId="46BF6F01" w14:textId="4124BC43" w:rsidR="00EA141B" w:rsidRDefault="006805DA" w:rsidP="006805DA">
      <w:pPr>
        <w:pStyle w:val="Body"/>
        <w:rPr>
          <w:bCs/>
        </w:rPr>
      </w:pPr>
      <w:r>
        <w:rPr>
          <w:bCs/>
        </w:rPr>
        <w:t xml:space="preserve">       </w:t>
      </w:r>
      <w:r w:rsidRPr="00821D17">
        <w:rPr>
          <w:bCs/>
        </w:rPr>
        <w:t xml:space="preserve">B.  </w:t>
      </w:r>
      <w:r w:rsidRPr="00B042E9">
        <w:rPr>
          <w:bCs/>
          <w:u w:val="single"/>
        </w:rPr>
        <w:t xml:space="preserve">Update on </w:t>
      </w:r>
      <w:r w:rsidR="00CB7C8D">
        <w:rPr>
          <w:bCs/>
          <w:u w:val="single"/>
        </w:rPr>
        <w:t>Child Nutrition Program</w:t>
      </w:r>
      <w:r w:rsidR="00D370D3">
        <w:rPr>
          <w:bCs/>
        </w:rPr>
        <w:t>.</w:t>
      </w:r>
    </w:p>
    <w:p w14:paraId="39573BF1" w14:textId="2E826681" w:rsidR="00F721D3" w:rsidRPr="00F721D3" w:rsidRDefault="00F721D3" w:rsidP="00F721D3">
      <w:pPr>
        <w:pStyle w:val="Body"/>
        <w:ind w:left="1440"/>
        <w:rPr>
          <w:bCs/>
        </w:rPr>
      </w:pPr>
      <w:r>
        <w:rPr>
          <w:bCs/>
        </w:rPr>
        <w:t xml:space="preserve">Charlene Russell-Tucker and John </w:t>
      </w:r>
      <w:proofErr w:type="spellStart"/>
      <w:r>
        <w:rPr>
          <w:bCs/>
        </w:rPr>
        <w:t>Frascarell</w:t>
      </w:r>
      <w:r w:rsidR="00C228A5">
        <w:rPr>
          <w:bCs/>
        </w:rPr>
        <w:t>i</w:t>
      </w:r>
      <w:proofErr w:type="spellEnd"/>
      <w:r>
        <w:rPr>
          <w:bCs/>
        </w:rPr>
        <w:t xml:space="preserve"> updated the Board on the Summer Nutrition Program ope</w:t>
      </w:r>
      <w:r w:rsidR="00161A49">
        <w:rPr>
          <w:bCs/>
        </w:rPr>
        <w:t>r</w:t>
      </w:r>
      <w:r>
        <w:rPr>
          <w:bCs/>
        </w:rPr>
        <w:t>ating across the state</w:t>
      </w:r>
      <w:r w:rsidR="00BB6E8B">
        <w:rPr>
          <w:bCs/>
        </w:rPr>
        <w:t xml:space="preserve"> in conjunction with the Federal Government</w:t>
      </w:r>
      <w:r w:rsidR="0066545A">
        <w:rPr>
          <w:bCs/>
        </w:rPr>
        <w:t xml:space="preserve">. Again, this program supports the </w:t>
      </w:r>
      <w:r w:rsidR="00161A49">
        <w:rPr>
          <w:bCs/>
        </w:rPr>
        <w:t>Goal 1 of the Comprehensive Plan.</w:t>
      </w:r>
      <w:r w:rsidR="0066545A">
        <w:rPr>
          <w:bCs/>
        </w:rPr>
        <w:t xml:space="preserve"> </w:t>
      </w:r>
    </w:p>
    <w:p w14:paraId="430CB001" w14:textId="1D84B3A7" w:rsidR="00D370D3" w:rsidRPr="00D370D3" w:rsidRDefault="00D370D3" w:rsidP="00222D63">
      <w:pPr>
        <w:pStyle w:val="Body"/>
        <w:ind w:left="1440"/>
        <w:rPr>
          <w:bCs/>
        </w:rPr>
      </w:pPr>
    </w:p>
    <w:p w14:paraId="57EED662" w14:textId="00A34C04" w:rsidR="00CB7C8D" w:rsidRDefault="00CB7C8D" w:rsidP="006805DA">
      <w:pPr>
        <w:pStyle w:val="Body"/>
        <w:rPr>
          <w:bCs/>
          <w:u w:val="single"/>
        </w:rPr>
      </w:pPr>
    </w:p>
    <w:p w14:paraId="13A7E3D6" w14:textId="0877EFFF" w:rsidR="00CB7C8D" w:rsidRDefault="00C52EE1" w:rsidP="006805DA">
      <w:pPr>
        <w:pStyle w:val="Body"/>
        <w:rPr>
          <w:bCs/>
          <w:u w:val="single"/>
        </w:rPr>
      </w:pPr>
      <w:r>
        <w:rPr>
          <w:bCs/>
        </w:rPr>
        <w:t xml:space="preserve">       C. </w:t>
      </w:r>
      <w:r w:rsidR="004858CC">
        <w:rPr>
          <w:bCs/>
        </w:rPr>
        <w:t xml:space="preserve"> </w:t>
      </w:r>
      <w:r w:rsidR="004858CC" w:rsidRPr="004858CC">
        <w:rPr>
          <w:bCs/>
          <w:u w:val="single"/>
        </w:rPr>
        <w:t>Recognition of State Board of Education Members</w:t>
      </w:r>
      <w:r w:rsidR="00826C26">
        <w:rPr>
          <w:bCs/>
          <w:u w:val="single"/>
        </w:rPr>
        <w:t xml:space="preserve">  </w:t>
      </w:r>
    </w:p>
    <w:p w14:paraId="7C3EB2EB" w14:textId="48F030AA" w:rsidR="00C228A5" w:rsidRDefault="00C228A5" w:rsidP="00C228A5">
      <w:pPr>
        <w:pStyle w:val="Body"/>
        <w:ind w:left="1440"/>
        <w:rPr>
          <w:bCs/>
        </w:rPr>
      </w:pPr>
    </w:p>
    <w:p w14:paraId="4742C253" w14:textId="68AB7B1D" w:rsidR="00BB6738" w:rsidRPr="00826C26" w:rsidRDefault="00A944D7" w:rsidP="00BB6738">
      <w:pPr>
        <w:pStyle w:val="Body"/>
        <w:ind w:left="1440"/>
        <w:rPr>
          <w:bCs/>
        </w:rPr>
      </w:pPr>
      <w:r>
        <w:rPr>
          <w:bCs/>
        </w:rPr>
        <w:t xml:space="preserve">Allan Taylor, on behalf of the Board and the State of Connecticut honored members whose terms are </w:t>
      </w:r>
      <w:r w:rsidR="007A01E8">
        <w:rPr>
          <w:bCs/>
        </w:rPr>
        <w:t>expiring</w:t>
      </w:r>
      <w:r>
        <w:rPr>
          <w:bCs/>
        </w:rPr>
        <w:t xml:space="preserve"> this month</w:t>
      </w:r>
      <w:r w:rsidR="004361F3">
        <w:rPr>
          <w:bCs/>
        </w:rPr>
        <w:t>.</w:t>
      </w:r>
      <w:r>
        <w:rPr>
          <w:bCs/>
        </w:rPr>
        <w:t xml:space="preserve"> </w:t>
      </w:r>
      <w:r w:rsidR="00BB6738">
        <w:rPr>
          <w:bCs/>
        </w:rPr>
        <w:t xml:space="preserve">The following members are leaving the Board: </w:t>
      </w:r>
      <w:r w:rsidR="00B63B52">
        <w:rPr>
          <w:bCs/>
        </w:rPr>
        <w:t xml:space="preserve">Estela Lopez, Erin Benham, Terry Jones, </w:t>
      </w:r>
      <w:r w:rsidR="00F24720">
        <w:rPr>
          <w:bCs/>
        </w:rPr>
        <w:t xml:space="preserve">Maria Mojica, and Joseph </w:t>
      </w:r>
      <w:proofErr w:type="spellStart"/>
      <w:r w:rsidR="00F24720">
        <w:rPr>
          <w:bCs/>
        </w:rPr>
        <w:t>Vrably</w:t>
      </w:r>
      <w:proofErr w:type="spellEnd"/>
      <w:r w:rsidR="00CB6F2A">
        <w:rPr>
          <w:bCs/>
        </w:rPr>
        <w:t>.</w:t>
      </w:r>
      <w:r w:rsidR="00F24720">
        <w:rPr>
          <w:bCs/>
        </w:rPr>
        <w:t xml:space="preserve"> </w:t>
      </w:r>
    </w:p>
    <w:p w14:paraId="57BA5195" w14:textId="77777777" w:rsidR="006805DA" w:rsidRDefault="006805DA" w:rsidP="006805DA">
      <w:pPr>
        <w:pStyle w:val="Body"/>
        <w:rPr>
          <w:b/>
          <w:bCs/>
        </w:rPr>
      </w:pPr>
    </w:p>
    <w:p w14:paraId="21D89AAC" w14:textId="66A94BF6" w:rsidR="006805DA" w:rsidRPr="00B042E9" w:rsidRDefault="006805DA" w:rsidP="00A944D7">
      <w:pPr>
        <w:pStyle w:val="Body"/>
        <w:tabs>
          <w:tab w:val="left" w:pos="3282"/>
        </w:tabs>
        <w:rPr>
          <w:b/>
          <w:bCs/>
        </w:rPr>
      </w:pPr>
      <w:r w:rsidRPr="00B042E9">
        <w:rPr>
          <w:b/>
        </w:rPr>
        <w:t>R</w:t>
      </w:r>
      <w:r>
        <w:rPr>
          <w:b/>
        </w:rPr>
        <w:t>EPORT OF THE CHAIR</w:t>
      </w:r>
      <w:r w:rsidR="00A944D7">
        <w:rPr>
          <w:b/>
        </w:rPr>
        <w:tab/>
        <w:t>:</w:t>
      </w:r>
    </w:p>
    <w:p w14:paraId="113DAA08" w14:textId="27AC0C95" w:rsidR="006805DA" w:rsidRDefault="006805DA" w:rsidP="006805DA">
      <w:pPr>
        <w:pStyle w:val="Body"/>
        <w:rPr>
          <w:b/>
          <w:bCs/>
        </w:rPr>
      </w:pPr>
      <w:r w:rsidRPr="004D3188">
        <w:rPr>
          <w:bCs/>
        </w:rPr>
        <w:t>No report</w:t>
      </w:r>
      <w:r>
        <w:rPr>
          <w:b/>
          <w:bCs/>
        </w:rPr>
        <w:t>.</w:t>
      </w:r>
    </w:p>
    <w:p w14:paraId="0E6B8075" w14:textId="77777777" w:rsidR="00DB3D34" w:rsidRPr="00C712A9" w:rsidRDefault="00DB3D34" w:rsidP="006805DA">
      <w:pPr>
        <w:pStyle w:val="Body"/>
      </w:pPr>
    </w:p>
    <w:p w14:paraId="05B0C1A3" w14:textId="77777777" w:rsidR="006805DA" w:rsidRDefault="006805DA" w:rsidP="006805DA">
      <w:pPr>
        <w:pStyle w:val="Body"/>
        <w:rPr>
          <w:b/>
        </w:rPr>
      </w:pPr>
      <w:r>
        <w:rPr>
          <w:b/>
        </w:rPr>
        <w:t>REPORT OF THE COMMISSIONER</w:t>
      </w:r>
    </w:p>
    <w:p w14:paraId="69013DB0" w14:textId="77777777" w:rsidR="006805DA" w:rsidRPr="004D3188" w:rsidRDefault="006805DA" w:rsidP="006805DA">
      <w:pPr>
        <w:pStyle w:val="Body"/>
      </w:pPr>
      <w:r w:rsidRPr="004D3188">
        <w:rPr>
          <w:bCs/>
        </w:rPr>
        <w:t>Commissioner R. Wentzell reported on her legislative, internal, and external CSDE activities.</w:t>
      </w:r>
    </w:p>
    <w:p w14:paraId="6FA880F8" w14:textId="77777777" w:rsidR="006805DA" w:rsidRDefault="006805DA" w:rsidP="006805DA">
      <w:pPr>
        <w:pStyle w:val="Body"/>
        <w:rPr>
          <w:b/>
          <w:bCs/>
        </w:rPr>
      </w:pPr>
    </w:p>
    <w:p w14:paraId="2E68A9D9" w14:textId="536A53B4" w:rsidR="006805DA" w:rsidRPr="000A49E9" w:rsidRDefault="006805DA" w:rsidP="006805DA">
      <w:pPr>
        <w:pStyle w:val="Body"/>
        <w:rPr>
          <w:b/>
        </w:rPr>
      </w:pPr>
      <w:r w:rsidRPr="000A49E9">
        <w:rPr>
          <w:b/>
        </w:rPr>
        <w:t>CONSENT AGENDA</w:t>
      </w:r>
    </w:p>
    <w:p w14:paraId="66EF0F2E" w14:textId="77777777" w:rsidR="004D79BD" w:rsidRDefault="006805DA" w:rsidP="006805DA">
      <w:pPr>
        <w:pStyle w:val="Body"/>
        <w:rPr>
          <w:bCs/>
        </w:rPr>
      </w:pPr>
      <w:r w:rsidRPr="00254E5D">
        <w:rPr>
          <w:bCs/>
        </w:rPr>
        <w:t>Consent (Any item may be removed from the consent agenda at the request of a Board member)</w:t>
      </w:r>
      <w:r>
        <w:rPr>
          <w:bCs/>
        </w:rPr>
        <w:t>.</w:t>
      </w:r>
      <w:r w:rsidRPr="00254E5D">
        <w:rPr>
          <w:bCs/>
        </w:rPr>
        <w:t xml:space="preserve"> </w:t>
      </w:r>
    </w:p>
    <w:p w14:paraId="6F5224F4" w14:textId="77777777" w:rsidR="003C11C3" w:rsidRDefault="00E47101" w:rsidP="00E47101">
      <w:pPr>
        <w:pStyle w:val="Body"/>
        <w:ind w:left="720"/>
        <w:rPr>
          <w:bCs/>
          <w:u w:val="single"/>
        </w:rPr>
      </w:pPr>
      <w:r>
        <w:rPr>
          <w:bCs/>
        </w:rPr>
        <w:t xml:space="preserve">A.  </w:t>
      </w:r>
      <w:r w:rsidR="003C11C3">
        <w:rPr>
          <w:bCs/>
          <w:u w:val="single"/>
        </w:rPr>
        <w:t>Town of Winchester’s Application for Waiver of Repayment.</w:t>
      </w:r>
    </w:p>
    <w:p w14:paraId="4A6477C2" w14:textId="030C9DC9" w:rsidR="006805DA" w:rsidRPr="00345EEA" w:rsidRDefault="006805DA" w:rsidP="003C11C3">
      <w:pPr>
        <w:pStyle w:val="Body"/>
        <w:ind w:left="720"/>
        <w:rPr>
          <w:bCs/>
          <w:u w:val="single"/>
        </w:rPr>
      </w:pPr>
      <w:r w:rsidRPr="00254E5D">
        <w:rPr>
          <w:bCs/>
        </w:rPr>
        <w:t xml:space="preserve"> </w:t>
      </w:r>
      <w:r w:rsidR="00345EEA">
        <w:rPr>
          <w:bCs/>
        </w:rPr>
        <w:t xml:space="preserve">B.  </w:t>
      </w:r>
      <w:r w:rsidR="00E36745">
        <w:rPr>
          <w:bCs/>
          <w:u w:val="single"/>
        </w:rPr>
        <w:t>Appointments to Educator Preparation Pr</w:t>
      </w:r>
      <w:r w:rsidR="00A743A5">
        <w:rPr>
          <w:bCs/>
          <w:u w:val="single"/>
        </w:rPr>
        <w:t>o</w:t>
      </w:r>
      <w:r w:rsidR="00E36745">
        <w:rPr>
          <w:bCs/>
          <w:u w:val="single"/>
        </w:rPr>
        <w:t>gram Review Committee</w:t>
      </w:r>
      <w:r w:rsidR="00A17750">
        <w:rPr>
          <w:bCs/>
          <w:u w:val="single"/>
        </w:rPr>
        <w:t>.</w:t>
      </w:r>
    </w:p>
    <w:p w14:paraId="5462F1F3" w14:textId="7C4A09C2" w:rsidR="006805DA" w:rsidRPr="00185A42" w:rsidRDefault="00BB2BF1" w:rsidP="00BB2BF1">
      <w:pPr>
        <w:pStyle w:val="Body"/>
        <w:ind w:left="1440"/>
        <w:rPr>
          <w:bCs/>
        </w:rPr>
      </w:pPr>
      <w:r>
        <w:rPr>
          <w:bCs/>
        </w:rPr>
        <w:t xml:space="preserve">Megan Mackey, </w:t>
      </w:r>
      <w:r w:rsidR="00152F2C">
        <w:rPr>
          <w:bCs/>
        </w:rPr>
        <w:t>CCSU, Steph</w:t>
      </w:r>
      <w:r w:rsidR="007A01E8">
        <w:rPr>
          <w:bCs/>
        </w:rPr>
        <w:t>a</w:t>
      </w:r>
      <w:r w:rsidR="00152F2C">
        <w:rPr>
          <w:bCs/>
        </w:rPr>
        <w:t>nie Storms, Fairfield University, Michael Livingston,</w:t>
      </w:r>
      <w:r w:rsidR="005A2E26">
        <w:rPr>
          <w:bCs/>
        </w:rPr>
        <w:t xml:space="preserve"> CREC, and Shannon </w:t>
      </w:r>
      <w:proofErr w:type="spellStart"/>
      <w:r w:rsidR="005A2E26">
        <w:rPr>
          <w:bCs/>
        </w:rPr>
        <w:t>Marimon</w:t>
      </w:r>
      <w:proofErr w:type="spellEnd"/>
      <w:r w:rsidR="005A2E26">
        <w:rPr>
          <w:bCs/>
        </w:rPr>
        <w:t>, CCER, were appointed to th</w:t>
      </w:r>
      <w:r w:rsidR="00C90448">
        <w:rPr>
          <w:bCs/>
        </w:rPr>
        <w:t xml:space="preserve">e Review Committee. </w:t>
      </w:r>
    </w:p>
    <w:p w14:paraId="72E8D755" w14:textId="77777777" w:rsidR="006805DA" w:rsidRPr="00AF3296" w:rsidRDefault="006805DA" w:rsidP="006805DA">
      <w:pPr>
        <w:pStyle w:val="Body"/>
        <w:ind w:left="720"/>
        <w:rPr>
          <w:bCs/>
          <w:i/>
        </w:rPr>
      </w:pPr>
      <w:r w:rsidRPr="00AF3296">
        <w:rPr>
          <w:bCs/>
          <w:i/>
        </w:rPr>
        <w:t>The Consent Agenda was approved</w:t>
      </w:r>
    </w:p>
    <w:p w14:paraId="6999D2D6" w14:textId="77777777" w:rsidR="006805DA" w:rsidRPr="00AF3296" w:rsidRDefault="006805DA" w:rsidP="006805DA">
      <w:pPr>
        <w:pStyle w:val="Body"/>
        <w:rPr>
          <w:bCs/>
          <w:i/>
          <w:u w:val="single"/>
        </w:rPr>
      </w:pPr>
    </w:p>
    <w:p w14:paraId="474B679A" w14:textId="0476BE7C" w:rsidR="00DB3D34" w:rsidRPr="00DB3D34" w:rsidRDefault="006805DA" w:rsidP="006805DA">
      <w:pPr>
        <w:pStyle w:val="Body"/>
        <w:rPr>
          <w:bCs/>
        </w:rPr>
      </w:pPr>
      <w:r w:rsidRPr="00B44F24">
        <w:rPr>
          <w:bCs/>
        </w:rPr>
        <w:t>Respectfully submitted,</w:t>
      </w:r>
    </w:p>
    <w:p w14:paraId="33B657B5" w14:textId="77777777" w:rsidR="006805DA" w:rsidRPr="00317ABF" w:rsidRDefault="006805DA" w:rsidP="006805DA">
      <w:pPr>
        <w:pStyle w:val="Body"/>
        <w:rPr>
          <w:bCs/>
        </w:rPr>
      </w:pPr>
      <w:r w:rsidRPr="00B44F24">
        <w:rPr>
          <w:bCs/>
        </w:rPr>
        <w:t>Ann Marie</w:t>
      </w:r>
      <w:r>
        <w:rPr>
          <w:bCs/>
        </w:rPr>
        <w:t xml:space="preserve"> Mulready</w:t>
      </w:r>
    </w:p>
    <w:p w14:paraId="323D3D0B" w14:textId="2905A12E" w:rsidR="008917E3" w:rsidRDefault="00152F2C">
      <w:r>
        <w:t xml:space="preserve"> </w:t>
      </w:r>
    </w:p>
    <w:sectPr w:rsidR="008917E3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3512"/>
    <w:multiLevelType w:val="hybridMultilevel"/>
    <w:tmpl w:val="E56AAE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C3F5E"/>
    <w:multiLevelType w:val="hybridMultilevel"/>
    <w:tmpl w:val="C87E10D6"/>
    <w:lvl w:ilvl="0" w:tplc="1F8EFA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036372"/>
    <w:multiLevelType w:val="hybridMultilevel"/>
    <w:tmpl w:val="D45ED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8A"/>
    <w:rsid w:val="000018C5"/>
    <w:rsid w:val="000030A5"/>
    <w:rsid w:val="00013624"/>
    <w:rsid w:val="00014837"/>
    <w:rsid w:val="00026F70"/>
    <w:rsid w:val="00032E83"/>
    <w:rsid w:val="000675C2"/>
    <w:rsid w:val="000724BF"/>
    <w:rsid w:val="000F3E73"/>
    <w:rsid w:val="00105895"/>
    <w:rsid w:val="00152F2C"/>
    <w:rsid w:val="00161A49"/>
    <w:rsid w:val="00187A49"/>
    <w:rsid w:val="001E336F"/>
    <w:rsid w:val="001F667B"/>
    <w:rsid w:val="00222D63"/>
    <w:rsid w:val="00223F86"/>
    <w:rsid w:val="00246E2B"/>
    <w:rsid w:val="0029091D"/>
    <w:rsid w:val="002924D5"/>
    <w:rsid w:val="0029406D"/>
    <w:rsid w:val="002C06D5"/>
    <w:rsid w:val="00304875"/>
    <w:rsid w:val="00317D74"/>
    <w:rsid w:val="003273E2"/>
    <w:rsid w:val="00345EEA"/>
    <w:rsid w:val="00360BC0"/>
    <w:rsid w:val="003679C6"/>
    <w:rsid w:val="00373E4B"/>
    <w:rsid w:val="00385954"/>
    <w:rsid w:val="00386CBA"/>
    <w:rsid w:val="00393BA3"/>
    <w:rsid w:val="003A717A"/>
    <w:rsid w:val="003B2A5D"/>
    <w:rsid w:val="003C11C3"/>
    <w:rsid w:val="003D2B3C"/>
    <w:rsid w:val="003E0FEA"/>
    <w:rsid w:val="00421021"/>
    <w:rsid w:val="004361F3"/>
    <w:rsid w:val="004858CC"/>
    <w:rsid w:val="00491A93"/>
    <w:rsid w:val="004A18DF"/>
    <w:rsid w:val="004A4107"/>
    <w:rsid w:val="004C6965"/>
    <w:rsid w:val="004C73D9"/>
    <w:rsid w:val="004D79BD"/>
    <w:rsid w:val="004E05E8"/>
    <w:rsid w:val="00513891"/>
    <w:rsid w:val="00520331"/>
    <w:rsid w:val="00547E4C"/>
    <w:rsid w:val="00547FCB"/>
    <w:rsid w:val="005635B9"/>
    <w:rsid w:val="00571580"/>
    <w:rsid w:val="00585806"/>
    <w:rsid w:val="005869BE"/>
    <w:rsid w:val="005877EA"/>
    <w:rsid w:val="005911F1"/>
    <w:rsid w:val="005A2E26"/>
    <w:rsid w:val="005A418A"/>
    <w:rsid w:val="005C3C35"/>
    <w:rsid w:val="005D0CA8"/>
    <w:rsid w:val="005D2958"/>
    <w:rsid w:val="005F3CF9"/>
    <w:rsid w:val="00656FFD"/>
    <w:rsid w:val="0066545A"/>
    <w:rsid w:val="00673043"/>
    <w:rsid w:val="00675579"/>
    <w:rsid w:val="006805DA"/>
    <w:rsid w:val="006B0E46"/>
    <w:rsid w:val="006E0AA9"/>
    <w:rsid w:val="00710054"/>
    <w:rsid w:val="00712F65"/>
    <w:rsid w:val="00715D14"/>
    <w:rsid w:val="00715F92"/>
    <w:rsid w:val="00731381"/>
    <w:rsid w:val="0073145E"/>
    <w:rsid w:val="00734615"/>
    <w:rsid w:val="00757169"/>
    <w:rsid w:val="007614A3"/>
    <w:rsid w:val="00770381"/>
    <w:rsid w:val="007A01E8"/>
    <w:rsid w:val="007E4819"/>
    <w:rsid w:val="007F139E"/>
    <w:rsid w:val="0081255C"/>
    <w:rsid w:val="00826C26"/>
    <w:rsid w:val="00831290"/>
    <w:rsid w:val="00831B1E"/>
    <w:rsid w:val="0083356C"/>
    <w:rsid w:val="00864FC9"/>
    <w:rsid w:val="008E3A8F"/>
    <w:rsid w:val="008E5212"/>
    <w:rsid w:val="0092212C"/>
    <w:rsid w:val="009450F3"/>
    <w:rsid w:val="009C5316"/>
    <w:rsid w:val="009E7BE1"/>
    <w:rsid w:val="00A17750"/>
    <w:rsid w:val="00A267CA"/>
    <w:rsid w:val="00A33796"/>
    <w:rsid w:val="00A618F8"/>
    <w:rsid w:val="00A743A5"/>
    <w:rsid w:val="00A772AF"/>
    <w:rsid w:val="00A944D7"/>
    <w:rsid w:val="00AD67F6"/>
    <w:rsid w:val="00AF732F"/>
    <w:rsid w:val="00B16158"/>
    <w:rsid w:val="00B2364C"/>
    <w:rsid w:val="00B62435"/>
    <w:rsid w:val="00B63B52"/>
    <w:rsid w:val="00B731E5"/>
    <w:rsid w:val="00BB2BF1"/>
    <w:rsid w:val="00BB6738"/>
    <w:rsid w:val="00BB6E8B"/>
    <w:rsid w:val="00C12BC3"/>
    <w:rsid w:val="00C228A5"/>
    <w:rsid w:val="00C31E58"/>
    <w:rsid w:val="00C52EE1"/>
    <w:rsid w:val="00C712A9"/>
    <w:rsid w:val="00C761BC"/>
    <w:rsid w:val="00C90448"/>
    <w:rsid w:val="00C91529"/>
    <w:rsid w:val="00CA78BD"/>
    <w:rsid w:val="00CB6F2A"/>
    <w:rsid w:val="00CB7C8D"/>
    <w:rsid w:val="00CC527B"/>
    <w:rsid w:val="00CD45E8"/>
    <w:rsid w:val="00D009BD"/>
    <w:rsid w:val="00D22C73"/>
    <w:rsid w:val="00D370D3"/>
    <w:rsid w:val="00D665F7"/>
    <w:rsid w:val="00D74A26"/>
    <w:rsid w:val="00DB3D34"/>
    <w:rsid w:val="00DC589D"/>
    <w:rsid w:val="00DD313E"/>
    <w:rsid w:val="00DF0139"/>
    <w:rsid w:val="00E123E3"/>
    <w:rsid w:val="00E17F22"/>
    <w:rsid w:val="00E35FF2"/>
    <w:rsid w:val="00E36745"/>
    <w:rsid w:val="00E45ADC"/>
    <w:rsid w:val="00E47101"/>
    <w:rsid w:val="00EA141B"/>
    <w:rsid w:val="00EF5A99"/>
    <w:rsid w:val="00F24720"/>
    <w:rsid w:val="00F721D3"/>
    <w:rsid w:val="00FB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E2B9F"/>
  <w15:chartTrackingRefBased/>
  <w15:docId w15:val="{C4509A55-C166-4112-B013-75AEDF3A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805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3149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Mulready</dc:creator>
  <cp:keywords/>
  <dc:description/>
  <cp:lastModifiedBy>Ann Marie Mulready</cp:lastModifiedBy>
  <cp:revision>142</cp:revision>
  <cp:lastPrinted>2019-03-07T21:51:00Z</cp:lastPrinted>
  <dcterms:created xsi:type="dcterms:W3CDTF">2019-03-05T14:59:00Z</dcterms:created>
  <dcterms:modified xsi:type="dcterms:W3CDTF">2019-03-07T22:56:00Z</dcterms:modified>
</cp:coreProperties>
</file>